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4" w:type="dxa"/>
        <w:tblCellSpacing w:w="0" w:type="dxa"/>
        <w:tblBorders>
          <w:top w:val="single" w:sz="2" w:space="0" w:color="1D9901"/>
          <w:left w:val="single" w:sz="4" w:space="0" w:color="1D9901"/>
          <w:bottom w:val="single" w:sz="4" w:space="0" w:color="1D9901"/>
          <w:right w:val="single" w:sz="4" w:space="0" w:color="1D990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94"/>
      </w:tblGrid>
      <w:tr w:rsidR="00005066" w:rsidRPr="00005066" w:rsidTr="003D59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74"/>
            </w:tblGrid>
            <w:tr w:rsidR="00005066" w:rsidRPr="00005066" w:rsidTr="003D592B">
              <w:trPr>
                <w:trHeight w:val="31680"/>
                <w:tblCellSpacing w:w="0" w:type="dxa"/>
              </w:trPr>
              <w:tc>
                <w:tcPr>
                  <w:tcW w:w="10042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46"/>
                    <w:gridCol w:w="528"/>
                  </w:tblGrid>
                  <w:tr w:rsidR="00005066" w:rsidRPr="00005066" w:rsidTr="003D592B">
                    <w:trPr>
                      <w:trHeight w:val="31680"/>
                      <w:tblCellSpacing w:w="0" w:type="dxa"/>
                    </w:trPr>
                    <w:tc>
                      <w:tcPr>
                        <w:tcW w:w="14034" w:type="dxa"/>
                        <w:tcMar>
                          <w:top w:w="0" w:type="dxa"/>
                          <w:left w:w="125" w:type="dxa"/>
                          <w:bottom w:w="0" w:type="dxa"/>
                          <w:right w:w="125" w:type="dxa"/>
                        </w:tcMar>
                        <w:hideMark/>
                      </w:tcPr>
                      <w:p w:rsidR="00005066" w:rsidRPr="00005066" w:rsidRDefault="00005066" w:rsidP="00005066">
                        <w:pPr>
                          <w:spacing w:before="25" w:after="25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МУНИЦИПАЛЬНОЕ    ДОШКОЛЬНОЕ ОБРАЗОВАТЕЛЬНОЕ УЧРЕЖДЕНИЕ 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МДОУ  «Детский сад № 182»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 xml:space="preserve">                  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                                                                           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D592B">
                          <w:rPr>
                            <w:rFonts w:ascii="Times New Roman" w:eastAsia="Times New Roman" w:hAnsi="Times New Roman" w:cs="Times New Roman"/>
                            <w:bCs/>
                            <w:sz w:val="36"/>
                            <w:szCs w:val="36"/>
                            <w:lang w:eastAsia="ru-RU"/>
                          </w:rPr>
                          <w:t xml:space="preserve">Методическая разработка 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Cs/>
                            <w:sz w:val="32"/>
                            <w:szCs w:val="32"/>
                            <w:lang w:eastAsia="ru-RU"/>
                          </w:rPr>
                          <w:t>по художественно-эстетическому  воспитанию старших дошкольников</w:t>
                        </w:r>
                      </w:p>
                      <w:p w:rsidR="00005066" w:rsidRPr="003D592B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48"/>
                            <w:szCs w:val="48"/>
                            <w:lang w:eastAsia="ru-RU"/>
                          </w:rPr>
                        </w:pPr>
                        <w:r w:rsidRPr="003D592B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48"/>
                            <w:szCs w:val="48"/>
                            <w:lang w:eastAsia="ru-RU"/>
                          </w:rPr>
                          <w:t xml:space="preserve">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iCs/>
                            <w:sz w:val="48"/>
                            <w:szCs w:val="48"/>
                            <w:lang w:eastAsia="ru-RU"/>
                          </w:rPr>
                          <w:t>«Веселый оркестр»</w:t>
                        </w:r>
                      </w:p>
                      <w:p w:rsidR="003D592B" w:rsidRPr="00005066" w:rsidRDefault="003D592B" w:rsidP="003D592B">
                        <w:pPr>
                          <w:spacing w:before="25"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D59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03.09.2020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48"/>
                            <w:szCs w:val="4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Для детей старшего дошкольного возраста (6-7 лет)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Срок реализации программы: 1год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Автор – составитель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proofErr w:type="gramEnd"/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                          музыкальный  руководитель  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И.А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Медведева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                            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    </w:t>
                        </w:r>
                      </w:p>
                      <w:p w:rsid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                         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   Пояснительная записка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                                                               « Без творчества немыслимо познание человеком </w:t>
                        </w:r>
                      </w:p>
                      <w:p w:rsidR="00005066" w:rsidRPr="00005066" w:rsidRDefault="00005066" w:rsidP="000050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                                                                         своих сил, способностей,  наклонностей… »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                                                                                                                  В.А.Сухомлинский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  <w:lang w:eastAsia="ru-RU"/>
                          </w:rPr>
                          <w:t>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Исполнительство на детских музыкальных инструментах - важный вид деятельности детей в процессе музыкально-эстетического воспитания в дошкольных учреждениях наряду с пением, слушанием музыки, музыкально-ритмическими движениями.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Одной из форм коллективной музыкальной деятельности в детском саду является игра в оркестре (ансамбле). Она стимулирует более быстрое развитие музыкальных способностей и обогащает музыкальные впечатления детей; повышает ответственность каждого ребенка за правильное исполнение своей партии; помогает преодолеть неуверенность, робость; сплачивает детский коллектив.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Игра в оркестре способствует не только музыкальному развитию детей, но и формированию у них таких важнейших психических качеств, как произвольная деятельность, внимание, самостоятельность, инициативность. В процессе игры на детских музыкальных инструментах ярко проявляются индивидуальные особенности каждого ребенка: наличие воли, эмоциональности, сосредоточенности, развиваются и совершенствуются творческие и музыкальные способности.  При совместной игре в ансамбле или в оркестре формируются чувство коллективизма, которое опирается на личную ответственность за общее дело.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Занятия в оркестре дают позитивные результаты всем без исключения детям независимо от того, насколько быстро ребёнок продвигается в своём музыкальном развитии. Прежде всего, они приносят удовлетворение в эмоциональном плане. Эмоциональная сфера ребёнка обогащается постоянным общением с классической музыкой. Они искренне радуются каждому удачно исполненному ими произведению. Большое удовольствие им доставляют “публичные” выступления перед сотрудниками детского сада, родителями на праздниках и развлечениях, на открытых занятиях перед  гостями, на  концертах.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   Бесспорна и воспитательная функция оркестра, поскольку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коллективное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является также одной из форм общения. У детей появляется ответственность за правильное исполнение своей партии, собранность,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Таким образом, игра на детских музыкальных инструментах в оркестре (ансамбле) организует детский коллектив, способствует развитию музыкальных способностей, совершенствуются эстетическое восприятие и эстетические чувства ребенка, развиваются мышление и аналитические способности дошкольников.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   И это благодаря различным методам, способам приобщения детей к игре на детских музыкальных инструментах, одним из которых является элементарное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- это возможность приобретения многообразного опыта в связи с музыкой: опыта движения и речи как праоснов музыки; опыта слушателя, композитора, исполнителя и актера; опыта общения и непосредственного переживания, творчества и фантазирования, самовыражения и спонтанности, опыта переживания музыки как радости и удовольствия.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          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    Актуальность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процессе игры ярко проявляются индивидуальные черты каждого исполнителя: наличие воли, эмоциональности, сосредоточенности, развиваются и совершенствуются музыкальные способности. Обучаясь игре на ДМИ, дети 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-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ритмических движений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дети чётче воспроизводят ритм.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Детское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ребёнка. В процессе игры ярко проявляются индивидуальные черты каждого исполнителя: наличие воли, эмоциональности, сосредоточенности, развиваются и совершенствуются музыкальные способности.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создании данной программы был обобщен опыт отечественной и зарубежной музыкальной педагогики.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Порядок использования (применения) рабочей программы в практической профессиональной деятельности: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Данная программа реализуется на основе программы «Ладушки», созданная И. М.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Каплуновой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А.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Новоскольцевой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(«художественно-эстетическое» направление) с детьми 5-6 лет. Эта программа подразумевает всестороннее музыкальное воспитание, и образование без углубления в какой-либо раздел.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Режим занятий.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Занятия проводятся один раз в неделю, продолжительность 30 минут.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каждом занятии используются различные формы работы, сочетаются подача теоретического материала и практическая работа: ритмические упражнения, игра на металлофоне и ксилофоне (основные навыки, игра в ансамбле, творческие упражнения, импровизации.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Все формы работы логично сменяют и дополняют друг друга.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Проведение каждого занятия требует от преподавателя не просто тщательной подготовки и владения материалом, но и особого творческого настроения, способности увлечь своих учеников и одновременно направлять их во время занятия к достижению поставленной цели.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Основная цель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предлагаемой программы - формирование личностных качеств детей путем приобретения многообразного опыта: слушания, исполнительства, сочинительства,  общения и самовыражения.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Работа кружка «Веселый оркестр» призвана решать следующие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задачи: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Обучающие: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- привлечь внимание детей к богатому и разнообразному миру звуков.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познакомить с музыкальными инструментами и приемами игры на них.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 исполнять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небольшие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песенки-распевки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постепенным мелодическим движением.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 исполнять несложный аккомпанемент в виде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остинатных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ритмоформул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слышать сильную и слабую доли, паузы, обозначать их звучащими жестами или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музыкальными инструментами.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использовать музыкальные инструменты для озвучивания стихов, сказок.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исполнять небольшие музыкальные произведения с аккомпанементом.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Развивающие: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 развивать тонкость и чуткость тембрового слуха, фантазию в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звукотворчестве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ассоциативное мышление и воображение.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развивать чувство ритма.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развивать у детей чувство уверенности в себе.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развивать коммуникативные функции речи у дошкольников.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Воспитательные: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формировать у детей чувство коллективизма и ответственности.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воспитывать у детей выдержку, настойчивость в достижении цели.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Методы,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используемые для реализации работы кружка: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Наглядно-слуховой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Обьяснительно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иллюстративный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Практический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Метод моделирования музыкального языка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Репродуктивный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Метод активизации творческих проявлений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Default="00005066" w:rsidP="00005066">
                        <w:pPr>
                          <w:shd w:val="clear" w:color="auto" w:fill="FFFFFF"/>
                          <w:spacing w:after="0" w:line="240" w:lineRule="auto"/>
                          <w:ind w:left="-540" w:right="356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                                                </w:t>
                        </w:r>
                      </w:p>
                      <w:p w:rsidR="00005066" w:rsidRPr="00005066" w:rsidRDefault="00005066" w:rsidP="00005066">
                        <w:pPr>
                          <w:shd w:val="clear" w:color="auto" w:fill="FFFFFF"/>
                          <w:spacing w:after="0" w:line="240" w:lineRule="auto"/>
                          <w:ind w:left="-540" w:right="356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Формы работы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1.Текущие занятия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Выступления на утренниках, праздниках и вечерах  развлечений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3.Показательные выступления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Итоговый концерт (в апреле – мае)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                                        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Формы занятий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Занятия  будут проходить  в игровой, наглядной и дидактических формах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 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гр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ы детей есть самая свободная, естественная форма проявления их деятельности, в которой осознается, изучается окружающий мир, открывается широкий простор для проявления личного творчества, личной активности.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   Игра – путь к познанию мира, в котором дети живут и который призваны изменить, считал А.М. Горький. В играх познаются разнообразные свойства предметов, разнообразные свойства жизни. В играх заложена огромная информация о различных знаниях и сведениях. Ребенок получает их свободно, без нажима и насилия. Важнейший психологический секрет игры в том, что она обязательно построена на интересе, на удовольствии.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   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Инструментальное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является органической частью детской музыкальной культуры. Музыкальные инструменты составляют самую привлекательную для детей область музыки.  Ребенок с раннего детства приобщается к миру звуков, исследуя и познавая с помощью его выразительных свойств окружающую действительность.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                                        Структура занятий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   Структура каждого из этих занятий различная.  На общем занятии настраиваю детей на занятие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распевками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(это также способствует и  созданию дисциплины на занятии). Затем предлагается  детям новый материал, смотрю, насколько дети поняли и усвоили. Вторая (большая) половина занятия – игра на инструментах.     Занятия по подгруппам также начинаю с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распевок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затем повторяю и закрепляю (при помощи музыкальных и музыкально-дидактических игр) теоретический материал.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Во второй части занятия -  отрабатываем исполнение конкретных музыкальных партий. На индивидуальных занятиях,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помогаю каждому ребенку справится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теми или иными трудностями. Конечно же,  больше приходится уделять внимания тем детям, которые осваивают навыки игры на более сложных музыкальных инструментах – металлофоне, ксилофоне,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триоле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  Конкретное планирование, распределение материала зависит от конечной цели занятий, концентрирующихся на общей музыкальной подготовке или нацеленных на исполнение музыкальных произведений. Конечно же, занятия могут не всегда соответствовать приведенной выше структуре – занятия статичные можно сочетать и чередовать с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динамичными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  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На первом этапе преобладают ритмические игры и импровизации с использованием ударно-шумовых инструментов.  Не обойтись и без таких «удобных» для этой цели  инструментов, как ладошки и ноги.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Ритмические движения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упражнения выполняются всеми вместе или поочередно. При этом дети сидят или получают возможность активно двигаться.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На следующем этапе происходит расширение сферы музыкальной деятельности детей и их музыкальных представлений в связи с введением на занятиях диатонических музыкальных инструментов. Использование их выразительных и изобразительных возможностей сочетается с развитием ладового мелодического слуха.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  Знакомство с нотной грамотой, игра на инструментах и пение должны быть неразрывно связаны. Ноты, которые дети узнают на занятии, должны сразу зазвучать, их надо спеть – сначала это будут простые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попевки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одном звуке, постепенно они усложняются, и те же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попевки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потом сыграть на инструменте. И в дальнейшем, по мере появления нового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метериала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или новых инструментов в оркестре, необходимо связывать с уже пройденным материалом по музыкальной грамоте.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Ко второму полугодию, репертуар становится намного богаче, расширяется круг ансамблевых возможностей, совместная игра занимает все большее место. К этому времени дети уже имеют небольшой исполнительский опыт. Поэтому в еще большей степени надо обращать их внимание на выразительность игры, на понимание характера и жанра исполняемых пьес, на связь музыки с поэтическим текстом, с сюжетом.   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  Основу элементарного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музицирования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составляет формирование метроритмического чувства (чувства темпа, метра, ритма). Основное внимание при этом должно быть направленно на развитие способности ребенка ощущать равномерную метрическую пульсацию музыки. Работа над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темпоритмом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осуществляется в определенной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последовательности: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-   сначала педагог помогает детям попадать  в такт музыке (греметь погремушкой, стучать по бубну, встряхивать колокольчиком, отмечая сильную долю такта в соответствии с темпом музыки)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   следующий этап связан с освоением навыков выделения с помощью ударных инструментов сильных и слабых долей (навыки тактирования)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-  более сложный этап – освоение ритмических рисунков и наложение их на метрическую сетку без счета, на долю такта.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На какой-то период времени за сильными и слабыми долями такта может закрепляться определенный музыкальный инструмент (сильная доля – барабан, слабая – колокольчик).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Полезно приобщать детей к восприятию и выразительному исполнению ритмических речитативных интонаций голоса, к ощущению его интонационных повышений и понижений. Можно упражняться в передаче с помощью музыкальных инструментов метроритмического пульса речи, а затем – звучащей музыки.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Ритмизация поэтических текстов облегчает запоминание ритмического рисунка и дальнейшее его воспроизведение с помощью ударных инструментов. По мере обогащения музыкального опыта ребенка, можно включать в упражнения и более сложные ритмические рисунки (группы шестнадцатых, простейший пунктирный ритм).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Именно поэтому, я стараюсь максимально использовать музыкально-дидактические игры и музыкальные пособия, направленные  на развитие чувства ритма.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   Процесс обучения детей игре на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звуковысотных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музыкальных инструментах можно так же разделить на три этапа: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    ознакомление с особенностями мелодии и приемами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звукоизвлечения</w:t>
                        </w:r>
                        <w:proofErr w:type="spellEnd"/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который будет использоваться для её воспроизведения;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   разучивание мелодии (по слуху, по нотам, по цифровой или цветовой системам). </w:t>
                        </w:r>
                        <w:proofErr w:type="gramEnd"/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-   отработка исполнительских приемов, работа над выразительностью исполнения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целостное воспроизведение мелодии на инструменте.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   Для того чтобы игра на музыкальных инструментах носила творческий характер и развивала самостоятельность, нельзя ограничиваться только разучиванием упражнений, пьес и партий. Следует всячески культивировать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различные формы работы, способствующие творческим проявлениям детей: от подбора на слух  до совместных оркестровок-импровизаций.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                        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Материально-техническое оснащение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Детские музыкальные инструменты, которые возможно использовать в работе с детьми.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 детские музыкальные игрушки и инструменты можно сгруппировать по видам: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    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неозвученные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музыкальные игрушки-инструменты.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Такие игрушки помогают детям создать игровые ситуации. Это балалайки с неиграющими струнами, пианино с немой клавиатурой,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баянчики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растягивающимися мехами и  т.д.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озвученные музыкальные игрушки-инструменты.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Игрушки-инструменты с нефиксированным звуком, т.е. звуком неопределенной высоты (погремушки, бубны, трещотки, барабаны, кастаньеты, треугольники, колотушки, музыкальные молоточки).</w:t>
                        </w:r>
                        <w:proofErr w:type="gramEnd"/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Игрушки-инструменты, издающие звук только одной высоты (свирели, дудки, рожки, свистульки).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Игрушки-инструменты с диатоническим или хроматическим звукорядом (металлофоны, ксилофоны, пианино, свирели, гармоники, колокольчики, балалайки, гусли, детские баяны и т.д.)</w:t>
                        </w:r>
                        <w:proofErr w:type="gramEnd"/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 Пособия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Фланелеграф</w:t>
                        </w:r>
                        <w:proofErr w:type="spellEnd"/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Наглядные тематические пособия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Музыкально-дидактические игры (настольные)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Музыкальный материал (хрестоматии и методические пособия, ноты)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 занятия будут проходить в знакомой и комфортной для детей обстановке.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                      Ожидаемый результат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взаимодействия с детьми: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должен различать  более тонкие оттенки звучания по высоте, динамике, тембру, длительности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 точно воспроизводить несложный ритмический рисунок в заданном темпе, слышать и выделять сильную долю в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хлопках, музыкально-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ритмических движениях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игре на детских музыкальных инструментах в заданном темпе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  - 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способен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 произвольному слуховому вниманию, простейшему анализу и коррекции собственного исполнения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иметь устойчивые понятия о музыкальных профессиях, музыкальных инструментах, оркестре и его разновидностях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знать различные музыкальные инструменты, владеет приемами игры на них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- исполнять несложные песенки и мелодии на самодельных  и различных музыкальных  инструментах сольно, группой, в оркестре.</w:t>
                        </w:r>
                      </w:p>
                      <w:p w:rsidR="00005066" w:rsidRPr="00005066" w:rsidRDefault="00005066" w:rsidP="0000506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                   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                                 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Взаимодействие с родителями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Собрания общие и групповые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Консультации в форме индивидуальных бесед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Итоговый концерт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Выставки («Музыка в жизни ребенка», «Дошкольное музыкальное развитие», «Играем сами» и т.д.)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                                        Работа с воспитателями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Тематические консультации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Организация утренников, праздников и вечеров развлечений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Мониторинг  </w:t>
                        </w:r>
                        <w:proofErr w:type="gram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уровня развития музыкальных способностей детей старшего возраста</w:t>
                        </w:r>
                        <w:proofErr w:type="gram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Для учёта индивидуальных особенностей каждого ребёнка проводится диагностика по следующим категориям: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Звуковысотный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слух (чистое интонирование, определение восходящей и нисходящей мелодии, музыкальная память).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Ритмический слух (передача ритмической пульсации и сильной доли любым способом, передача ритмического рисунка, ритмическая память).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Музицирование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 (владение приёмами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звукоизвлечения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 цимбалах, металлофоне, ударных).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Чувство ансамбля.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Творчество (способность придумать ритм, наиграть придуманную мелодию).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Диагностика проводится в начале года, а также в середине и в конце. Полученные данные позволяют судить об 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индивидуальном качественном своеобразии музыкального развития ребенка, помогают выявить сильные и слабые её звенья и являются основой индивидуального подхода. На основе диагностики осуществляется подбор репертуара для исполнения оркестром.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              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                  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ТЕМАТИЧЕСКИЙ ПЛАН КРУЖКА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13899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84"/>
                          <w:gridCol w:w="4273"/>
                          <w:gridCol w:w="7442"/>
                        </w:tblGrid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25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Тема занятий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Задачи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Музыкальный материал</w:t>
                              </w:r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Сентябрь: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«Деревянные истории»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Познакомить с деревянными музыкальными инструментами и приемами игры на них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Учить использовать инструменты при озвучивании стихов,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потешек</w:t>
                              </w:r>
                              <w:proofErr w:type="spell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 Соотносить образ и исполнительский прием.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фантазию, творчество и воображение.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         Играем: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«Рондо с палочками»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муз. С. Слонимского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«Деревянные разговоры»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«Деревянные танцы»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«Камаринская» Чайковского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«Марш» муз. Шульгина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«Полька» муз. Александрова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      «Вальс» муз.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Майкапара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Озвучиваем стихи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«Игрушки» Степанова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«Прыг-скок» В.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Данько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Играем в оркестре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«Лошадка»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.Д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авыдовой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«Вальс»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.М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айкапара</w:t>
                              </w:r>
                              <w:proofErr w:type="spellEnd"/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Октябрь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«Осенний калейдоскоп»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 Привлечь внимание детей к красоте и богатству звуков окружающей природы.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2.Развивать остроту и тонкость тембрового слуха.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азвивать слуховое воображение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Способствовать установлению связей между слуховыми, зрительными, тактильными и мускульными ощущениями.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«Разговор листьев»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Берестова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«Осеннее утром» Ходырева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«Осеннее настроение»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муз. Васильева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«Осенний дождик»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муз.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Парцхаладзе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«Дождик» р.н.п.</w:t>
                              </w:r>
                            </w:p>
                          </w:tc>
                        </w:tr>
                        <w:tr w:rsidR="00005066" w:rsidRPr="00005066" w:rsidTr="003D592B">
                          <w:trPr>
                            <w:trHeight w:val="81"/>
                          </w:trPr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Ноябрь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«Бумажный карнавал»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81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Познакомить детей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18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 шуршащими звуками, предметами и музыкальными инструментами, их издающими.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азвивать тонкость тембрового слуха, способность слышать красоту шуршащих и шелестящих звучаний.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81" w:lineRule="atLeast"/>
                                <w:ind w:left="318" w:hanging="284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  Развивать способность к элементарной импровизации, звуковую фантазию, ассоциативное мышление, понимание смысла выразительных средств музыки.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    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 тишине» Суслова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«Шорох к шелесту спешит»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Мошковской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Играем  и поем: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«Много разных звуков»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.Б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оровик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«Мы веселые мышата»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детская песенка.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Играм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«Шуточка»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.С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еливанова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Играем с инструментами: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«Бумажное шествие»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под музыку торжественного марша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«Танец бумажных бабочек»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81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под музыку китайского танца</w:t>
                              </w:r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Декабрь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«Снежная сказка»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Привлечь внимание детей к красоте зимних звуков природы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способность к образным и свободным импровизациям.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тембровый слух, чувство ритма, воображение, ассоциативное мышление.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Поем и танцуем: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«Снежная сказка»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.Л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емит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«Снежинки» Липецкого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«Снег, снег»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Токмаковой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«Зимнее рондо»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Байнихатиса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«Танец Феи Серебра»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.Ч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айковского</w:t>
                              </w:r>
                              <w:proofErr w:type="spellEnd"/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Январь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«Стеклянное королевство»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Привлечь внимание детей к особому качеству и красоте стеклянных звуков, дать им качественное определение.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0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Побуждать к образным и свободным импровизациям с предметами из стекла и музыкальными инструментами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Учить соотносить стеклянные звуки с некоторыми эмоциональными состояниями.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0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тембровый слух, чувство ритма, воображение, ассоциативное мышление.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«Хрустальный колокольчик»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Данько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«Хрустальные спицы»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Николаенко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    Играем: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«Чайничек с крышечкой»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русский фольклор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«Чайная полька»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«Аквариум»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Т.Коти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«Вальс – шутка»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.Ш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остаковича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Февраль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«Металлическая фантазия»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42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Познакомить детей со звуками, издаваемыми металлическими предметами и музыкальными инструментами.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42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фантазию, воображение, темброво-ритмический и интонационный слух.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42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Учить пользоваться переменной динамикой, соотносить при этом различные образы.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«Веселый старичок» Хармса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«Дракон»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Берестова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«Туча»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Токмаковой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Играем и поем: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Колокольцы</w:t>
                              </w:r>
                              <w:proofErr w:type="spell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» р.н.п.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           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«Тамбурин»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амо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«Шарманка»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.Ш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остаковича</w:t>
                              </w:r>
                              <w:proofErr w:type="spellEnd"/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Март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«Солнечная капель»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способность детей слышать «музыку природы»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Учить находить способы перевода речевого звукоподражания в музыкальные звуки.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слуховое воображение.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Озвучиваем стихи и сказки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«Сосулька-свистулька»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Степанова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«Волшебная снежинка»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Хмельницкого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«Весенняя телеграмма»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Суслова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«Солнышко» р.н.п.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«Голоса птиц»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польская песенка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Танцуем: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«Бал ароматов весны»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.Ч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айковского</w:t>
                              </w:r>
                              <w:proofErr w:type="spell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«Фея Сирени».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Играем в оркестре:</w:t>
                              </w:r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Апрель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«Дождик бегает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 крыше»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Привлечь внимание детей к разнообразию звуковых явлений, сопровождающих дождики, ливни.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представление об ускорении и замедлении темпа.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3.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Побуждать детей находить нужные музыкально-выразительные средства.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360" w:hanging="36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Чувствовать взаимосвязь темпа и динамики, темпа и артикуляции.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«Водяная сабелька»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Токмаковой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«Две тучки» Белозерова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Играем и поем: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«Дождик»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оляновой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«Капельки»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муз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.Д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убравина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  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«Деревья на ветру»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«Танец молнии»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Играем в оркестре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05066" w:rsidRPr="00005066" w:rsidTr="003D592B">
                          <w:tc>
                            <w:tcPr>
                              <w:tcW w:w="21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      Май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«С утра до вечера»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«Звездный урок»</w:t>
                              </w:r>
                            </w:p>
                          </w:tc>
                          <w:tc>
                            <w:tcPr>
                              <w:tcW w:w="427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420" w:hanging="4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Устанавливать в сознании детей связь между музыкальными звуками и их возможным смыслом.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ind w:left="420" w:hanging="4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      </w:t>
                              </w: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Развивать способность к импровизации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Развивать звуковую фантазию, слуховое воображение, ассоциативное мышление, способность к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звукоизображению</w:t>
                              </w:r>
                              <w:proofErr w:type="spell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«неслышимого» – звуков вселенной, музыки звезд, хора планет.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«Рассвет»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Данько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«Утренняя сказка»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Данько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«Утренние звуки»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Э.Фарджен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Играем: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«Зарядка»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Данько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Фантазируем: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«Жук»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М.Веховой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Играем и поем: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«Кукушка и сова»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немецкая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нар</w:t>
                              </w:r>
                              <w:proofErr w:type="gram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.п</w:t>
                              </w:r>
                              <w:proofErr w:type="gram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есня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«Ария лягушек»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«Кукушкин вальс» Ч.Остен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«Вальс петушков»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И.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Стрибогг</w:t>
                              </w:r>
                              <w:proofErr w:type="spellEnd"/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Озвучиваем стихи: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Бунин «Звезды»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Дж. </w:t>
                              </w:r>
                              <w:proofErr w:type="spellStart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Ривз</w:t>
                              </w:r>
                              <w:proofErr w:type="spellEnd"/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«Лунные феи»</w:t>
                              </w:r>
                            </w:p>
                            <w:p w:rsidR="00005066" w:rsidRPr="00005066" w:rsidRDefault="00005066" w:rsidP="00005066">
                              <w:pPr>
                                <w:shd w:val="clear" w:color="auto" w:fill="3FCA57"/>
                                <w:spacing w:before="100" w:beforeAutospacing="1"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      Фантазируем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«Звездный дождик»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«Разговор звезды небесной и морской»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«Разговор звезды и светлячка»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Играем и поем: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«Лунный кораблик»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«Горят цветные огоньки»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                     Играем: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«Звездочет»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Играем в оркестре:</w:t>
                              </w:r>
                            </w:p>
                            <w:p w:rsidR="00005066" w:rsidRPr="00005066" w:rsidRDefault="00005066" w:rsidP="00005066">
                              <w:pPr>
                                <w:spacing w:before="25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0506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«Космическая фантазия»</w:t>
                              </w:r>
                            </w:p>
                          </w:tc>
                        </w:tr>
                      </w:tbl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lastRenderedPageBreak/>
                          <w:t>                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                                                     Литература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    Кононова Н.Г. «Обучение дошкольников игре на детских музыкальных      инструментах» - Москва, Просвещение, 1990г.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324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     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Радынова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О.П.,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Катинене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А.И.,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Паловаидишвили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М.Я. Музыкальное воспитание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324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дошкольников.- М., 1994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324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    Комиссарова Л., Костина Э. Наглядные средства в музыкальном воспитании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324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дошкольников.- М., 1986</w:t>
                        </w:r>
                      </w:p>
                      <w:p w:rsidR="00005066" w:rsidRPr="00005066" w:rsidRDefault="00005066" w:rsidP="00005066">
                        <w:pPr>
                          <w:spacing w:after="0" w:line="324" w:lineRule="atLeast"/>
                          <w:ind w:left="-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 -     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Каплунова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И.М.,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Новоскольцева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И.А «Этот удивительный ритм». Композитор–Санкт-Петербург, 2005,</w:t>
                        </w:r>
                      </w:p>
                      <w:p w:rsidR="00005066" w:rsidRPr="00005066" w:rsidRDefault="00005066" w:rsidP="00005066">
                        <w:pPr>
                          <w:spacing w:after="0" w:line="324" w:lineRule="atLeast"/>
                          <w:ind w:left="-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 -    Инструменты Карла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Орфа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// Дошкольное воспитание.- 1998.- №2, с. 141 -144.</w:t>
                        </w:r>
                      </w:p>
                      <w:p w:rsidR="00005066" w:rsidRPr="00005066" w:rsidRDefault="00005066" w:rsidP="00005066">
                        <w:pPr>
                          <w:spacing w:after="0" w:line="324" w:lineRule="atLeast"/>
                          <w:ind w:left="-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Что такое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Шульверк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К. </w:t>
                        </w:r>
                        <w:proofErr w:type="spellStart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Орфа</w:t>
                        </w:r>
                        <w:proofErr w:type="spellEnd"/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?//Дошкольное воспитание. - 1998. - № 4, с.</w:t>
                        </w:r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129-134.</w:t>
                        </w:r>
                      </w:p>
                      <w:p w:rsidR="00005066" w:rsidRPr="00005066" w:rsidRDefault="00005066" w:rsidP="00005066">
                        <w:pPr>
                          <w:spacing w:after="0" w:line="324" w:lineRule="atLeast"/>
                          <w:ind w:left="-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      Речевые игры // Дошкольное воспитание. - 1998. - № 9, с. 115-119.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005066" w:rsidRPr="00005066" w:rsidRDefault="00005066" w:rsidP="00005066">
                        <w:pPr>
                          <w:spacing w:before="25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05066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7" w:type="dxa"/>
                        <w:tcMar>
                          <w:top w:w="0" w:type="dxa"/>
                          <w:left w:w="188" w:type="dxa"/>
                          <w:bottom w:w="0" w:type="dxa"/>
                          <w:right w:w="188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</w:tblGrid>
                        <w:tr w:rsidR="00005066" w:rsidRPr="00005066" w:rsidTr="003D592B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05066" w:rsidRPr="00005066" w:rsidTr="003D592B">
                          <w:trPr>
                            <w:trHeight w:val="31680"/>
                            <w:tblCellSpacing w:w="0" w:type="dxa"/>
                          </w:trPr>
                          <w:tc>
                            <w:tcPr>
                              <w:tcW w:w="6" w:type="dxa"/>
                              <w:tcMar>
                                <w:top w:w="100" w:type="dxa"/>
                                <w:left w:w="0" w:type="dxa"/>
                                <w:bottom w:w="100" w:type="dxa"/>
                                <w:right w:w="0" w:type="dxa"/>
                              </w:tcMar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05066" w:rsidRPr="00005066" w:rsidRDefault="00005066" w:rsidP="000050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05066" w:rsidRPr="00005066" w:rsidTr="003D592B">
                    <w:trPr>
                      <w:trHeight w:val="13"/>
                      <w:tblCellSpacing w:w="0" w:type="dxa"/>
                    </w:trPr>
                    <w:tc>
                      <w:tcPr>
                        <w:tcW w:w="14551" w:type="dxa"/>
                        <w:gridSpan w:val="2"/>
                        <w:tcMar>
                          <w:top w:w="38" w:type="dxa"/>
                          <w:left w:w="0" w:type="dxa"/>
                          <w:bottom w:w="38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Layout w:type="fixed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40"/>
                          <w:gridCol w:w="140"/>
                          <w:gridCol w:w="140"/>
                          <w:gridCol w:w="140"/>
                        </w:tblGrid>
                        <w:tr w:rsidR="00005066" w:rsidRPr="00005066" w:rsidTr="003D592B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126" w:type="dxa"/>
                              <w:vAlign w:val="center"/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6" w:type="dxa"/>
                              <w:vAlign w:val="center"/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6" w:type="dxa"/>
                              <w:vAlign w:val="center"/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6" w:type="dxa"/>
                              <w:vAlign w:val="center"/>
                              <w:hideMark/>
                            </w:tcPr>
                            <w:p w:rsidR="00005066" w:rsidRPr="00005066" w:rsidRDefault="00005066" w:rsidP="000050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05066" w:rsidRPr="00005066" w:rsidRDefault="00005066" w:rsidP="00005066">
                        <w:pPr>
                          <w:spacing w:after="0" w:line="13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05066" w:rsidRPr="00005066" w:rsidRDefault="00005066" w:rsidP="00005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5066" w:rsidRPr="00005066" w:rsidRDefault="00005066" w:rsidP="0000506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5066" w:rsidRPr="00005066" w:rsidTr="003D59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05066" w:rsidRPr="00005066" w:rsidRDefault="00005066" w:rsidP="0000506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7039A2" w:rsidRDefault="007039A2"/>
    <w:sectPr w:rsidR="007039A2" w:rsidSect="00005066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5066"/>
    <w:rsid w:val="00005066"/>
    <w:rsid w:val="003D592B"/>
    <w:rsid w:val="0070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paragraph" w:styleId="2">
    <w:name w:val="heading 2"/>
    <w:basedOn w:val="a"/>
    <w:link w:val="20"/>
    <w:uiPriority w:val="9"/>
    <w:qFormat/>
    <w:rsid w:val="00005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c8">
    <w:name w:val="c0c1c8"/>
    <w:basedOn w:val="a0"/>
    <w:rsid w:val="00005066"/>
  </w:style>
  <w:style w:type="character" w:styleId="a4">
    <w:name w:val="Strong"/>
    <w:basedOn w:val="a0"/>
    <w:uiPriority w:val="22"/>
    <w:qFormat/>
    <w:rsid w:val="00005066"/>
    <w:rPr>
      <w:b/>
      <w:bCs/>
    </w:rPr>
  </w:style>
  <w:style w:type="character" w:styleId="a5">
    <w:name w:val="Hyperlink"/>
    <w:basedOn w:val="a0"/>
    <w:uiPriority w:val="99"/>
    <w:semiHidden/>
    <w:unhideWhenUsed/>
    <w:rsid w:val="000050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06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822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3844</Words>
  <Characters>21915</Characters>
  <Application>Microsoft Office Word</Application>
  <DocSecurity>0</DocSecurity>
  <Lines>182</Lines>
  <Paragraphs>51</Paragraphs>
  <ScaleCrop>false</ScaleCrop>
  <Company>Krokoz™ Inc.</Company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2021-12-26T17:09:00Z</dcterms:created>
  <dcterms:modified xsi:type="dcterms:W3CDTF">2021-12-26T18:46:00Z</dcterms:modified>
</cp:coreProperties>
</file>